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360" w:lineRule="auto"/>
        <w:rPr>
          <w:bCs/>
          <w:sz w:val="28"/>
          <w:szCs w:val="28"/>
        </w:rPr>
      </w:pPr>
      <w:bookmarkStart w:id="0" w:name="_GoBack"/>
      <w:bookmarkEnd w:id="0"/>
      <w:r>
        <w:rPr>
          <w:rFonts w:hint="eastAsia"/>
          <w:bCs/>
          <w:sz w:val="28"/>
          <w:szCs w:val="28"/>
        </w:rPr>
        <w:t>附件4</w:t>
      </w:r>
    </w:p>
    <w:p>
      <w:pPr>
        <w:autoSpaceDN w:val="0"/>
        <w:spacing w:line="360" w:lineRule="auto"/>
        <w:jc w:val="center"/>
        <w:rPr>
          <w:bCs/>
          <w:sz w:val="36"/>
          <w:szCs w:val="36"/>
        </w:rPr>
      </w:pPr>
      <w:r>
        <w:rPr>
          <w:rFonts w:hint="eastAsia"/>
          <w:bCs/>
          <w:sz w:val="36"/>
          <w:szCs w:val="36"/>
        </w:rPr>
        <w:t>20</w:t>
      </w:r>
      <w:r>
        <w:rPr>
          <w:bCs/>
          <w:sz w:val="36"/>
          <w:szCs w:val="36"/>
        </w:rPr>
        <w:t>2</w:t>
      </w:r>
      <w:r>
        <w:rPr>
          <w:rFonts w:hint="eastAsia"/>
          <w:bCs/>
          <w:sz w:val="36"/>
          <w:szCs w:val="36"/>
        </w:rPr>
        <w:t>1年中国大学生计算机设计大赛</w:t>
      </w:r>
    </w:p>
    <w:p>
      <w:pPr>
        <w:autoSpaceDN w:val="0"/>
        <w:spacing w:line="360" w:lineRule="auto"/>
        <w:jc w:val="center"/>
        <w:rPr>
          <w:bCs/>
          <w:sz w:val="36"/>
          <w:szCs w:val="36"/>
        </w:rPr>
      </w:pPr>
      <w:r>
        <w:rPr>
          <w:rFonts w:hint="eastAsia"/>
          <w:bCs/>
          <w:sz w:val="36"/>
          <w:szCs w:val="36"/>
        </w:rPr>
        <w:t>四川省级赛赛事项目分类</w:t>
      </w:r>
    </w:p>
    <w:p>
      <w:pPr>
        <w:autoSpaceDN w:val="0"/>
        <w:spacing w:line="360" w:lineRule="auto"/>
        <w:jc w:val="left"/>
        <w:rPr>
          <w:rFonts w:ascii="仿宋_GB2312" w:hAnsi="宋体" w:eastAsia="仿宋_GB2312"/>
          <w:b/>
          <w:sz w:val="28"/>
          <w:szCs w:val="28"/>
        </w:rPr>
      </w:pPr>
      <w:r>
        <w:rPr>
          <w:rFonts w:hint="eastAsia" w:ascii="仿宋_GB2312" w:hAnsi="宋体" w:eastAsia="仿宋_GB2312"/>
          <w:b/>
          <w:sz w:val="28"/>
          <w:szCs w:val="28"/>
        </w:rPr>
        <w:t>一、大赛内容依据</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大赛内容主要依据本科大学计算机课程教学要求：</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1.学生就业需要。</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2.学生专业需要。</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3.学生创新意识、创新创业能力培养需要。</w:t>
      </w:r>
    </w:p>
    <w:p>
      <w:pPr>
        <w:autoSpaceDN w:val="0"/>
        <w:spacing w:line="360" w:lineRule="auto"/>
        <w:jc w:val="left"/>
        <w:rPr>
          <w:rFonts w:ascii="仿宋_GB2312" w:hAnsi="宋体" w:eastAsia="仿宋_GB2312"/>
          <w:b/>
          <w:sz w:val="28"/>
          <w:szCs w:val="28"/>
        </w:rPr>
      </w:pPr>
      <w:r>
        <w:rPr>
          <w:rFonts w:hint="eastAsia" w:ascii="仿宋_GB2312" w:hAnsi="宋体" w:eastAsia="仿宋_GB2312"/>
          <w:b/>
          <w:sz w:val="28"/>
          <w:szCs w:val="28"/>
        </w:rPr>
        <w:t>二、大赛作品内容分类及说明</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w:t>
      </w:r>
      <w:r>
        <w:rPr>
          <w:rFonts w:hint="eastAsia" w:ascii="仿宋_GB2312" w:hAnsi="宋体" w:eastAsia="仿宋_GB2312"/>
          <w:sz w:val="28"/>
          <w:szCs w:val="28"/>
        </w:rPr>
        <w:t>参赛作品内容分类与相关说明，类（组）数与国赛大致相同。</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大赛作品内容共分12类（组）：</w:t>
      </w:r>
    </w:p>
    <w:p>
      <w:pPr>
        <w:autoSpaceDN w:val="0"/>
        <w:spacing w:line="360" w:lineRule="auto"/>
        <w:ind w:left="700"/>
        <w:jc w:val="left"/>
        <w:rPr>
          <w:rFonts w:ascii="仿宋_GB2312" w:hAnsi="宋体" w:eastAsia="仿宋_GB2312"/>
          <w:sz w:val="28"/>
          <w:szCs w:val="28"/>
        </w:rPr>
      </w:pPr>
      <w:r>
        <w:rPr>
          <w:rFonts w:hint="eastAsia" w:ascii="仿宋_GB2312" w:hAnsi="宋体" w:eastAsia="仿宋_GB2312"/>
          <w:sz w:val="28"/>
          <w:szCs w:val="28"/>
        </w:rPr>
        <w:t>（1）软件应用与开发。</w:t>
      </w:r>
    </w:p>
    <w:p>
      <w:pPr>
        <w:autoSpaceDN w:val="0"/>
        <w:spacing w:line="360" w:lineRule="auto"/>
        <w:ind w:left="700"/>
        <w:jc w:val="left"/>
        <w:rPr>
          <w:rFonts w:ascii="仿宋_GB2312" w:hAnsi="宋体" w:eastAsia="仿宋_GB2312"/>
          <w:sz w:val="28"/>
          <w:szCs w:val="28"/>
        </w:rPr>
      </w:pPr>
      <w:r>
        <w:rPr>
          <w:rFonts w:hint="eastAsia" w:ascii="仿宋_GB2312" w:hAnsi="宋体" w:eastAsia="仿宋_GB2312"/>
          <w:sz w:val="28"/>
          <w:szCs w:val="28"/>
        </w:rPr>
        <w:t>（2）微课与教学辅助。</w:t>
      </w:r>
    </w:p>
    <w:p>
      <w:pPr>
        <w:autoSpaceDN w:val="0"/>
        <w:spacing w:line="360" w:lineRule="auto"/>
        <w:ind w:left="700"/>
        <w:jc w:val="left"/>
        <w:rPr>
          <w:rFonts w:ascii="仿宋_GB2312" w:hAnsi="宋体" w:eastAsia="仿宋_GB2312"/>
          <w:sz w:val="28"/>
          <w:szCs w:val="28"/>
        </w:rPr>
      </w:pPr>
      <w:r>
        <w:rPr>
          <w:rFonts w:hint="eastAsia" w:ascii="仿宋_GB2312" w:hAnsi="宋体" w:eastAsia="仿宋_GB2312"/>
          <w:sz w:val="28"/>
          <w:szCs w:val="28"/>
        </w:rPr>
        <w:t>（3）物联网应用。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（4）大数据应用。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（5）人工智能应用。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（6）信息可视化设计。</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（7）数媒静态设计（普通组，证书上不出现“普通组”三字，下同）。</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（8）数媒静态设计专业组。</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（9）数媒动漫与短片（普通组）。</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0</w:t>
      </w:r>
      <w:r>
        <w:rPr>
          <w:rFonts w:hint="eastAsia" w:ascii="仿宋_GB2312" w:hAnsi="宋体" w:eastAsia="仿宋_GB2312"/>
          <w:sz w:val="28"/>
          <w:szCs w:val="28"/>
        </w:rPr>
        <w:t>）数媒动漫与短片专业组。</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1</w:t>
      </w:r>
      <w:r>
        <w:rPr>
          <w:rFonts w:hint="eastAsia" w:ascii="仿宋_GB2312" w:hAnsi="宋体" w:eastAsia="仿宋_GB2312"/>
          <w:sz w:val="28"/>
          <w:szCs w:val="28"/>
        </w:rPr>
        <w:t>）数媒游戏与交互设计（普通组）。</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2</w:t>
      </w:r>
      <w:r>
        <w:rPr>
          <w:rFonts w:hint="eastAsia" w:ascii="仿宋_GB2312" w:hAnsi="宋体" w:eastAsia="仿宋_GB2312"/>
          <w:sz w:val="28"/>
          <w:szCs w:val="28"/>
        </w:rPr>
        <w:t>）数媒游戏与交互设计专业组。</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2</w:t>
      </w:r>
      <w:r>
        <w:rPr>
          <w:rFonts w:ascii="仿宋_GB2312" w:hAnsi="宋体" w:eastAsia="仿宋_GB2312"/>
          <w:sz w:val="28"/>
          <w:szCs w:val="28"/>
        </w:rPr>
        <w:t>．</w:t>
      </w:r>
      <w:r>
        <w:rPr>
          <w:rFonts w:hint="eastAsia" w:ascii="仿宋_GB2312" w:hAnsi="宋体" w:eastAsia="仿宋_GB2312"/>
          <w:sz w:val="28"/>
          <w:szCs w:val="28"/>
        </w:rPr>
        <w:t>数媒各大类参赛作品参赛时，按普通组与专业组分别进行。界定数媒类作品专业组的专业清单（参考教育部2020年发布新专业目录），具体包括：</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（1）教育学类：040105艺术教育</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（2）新闻传播学类：050302广播电视学、050303广告学、050306T网络与新媒体、050307T数字出版</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（3）机械类：080205工业设计</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（4）计算机类：080906数字媒体技术、080912T新媒体技术、080913T电影制作、080916T虚拟现实技术</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（5）建筑类：082801建筑学、082802城乡规划、082803风景园林、082805T人居环境科学与技术、082806T城市设计</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（6）林学类：090502园林</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（7）戏剧与影视学类：130303电影学、130305广播电视编导、130307戏剧影视美术设计、130310动画、130311T影视摄影与制作、130312T影视技术</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（8）美术学类：130401美术学、130402绘画、130403雕塑、130404摄影、130405T书法学、130406T中国画、130408TK跨媒体艺术、130410T漫画</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9）设计学类：130501艺术设计学、130502视觉传达设计、130503环境设计、130504产品设计、130505服装与服饰设计、130506公共艺术、130507工艺美术、130508数字媒体艺术、130509T艺术与科技、130511T新媒体艺术、130512T包装设计</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3.大赛数媒类作品的主题</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大赛数媒类的主题为“2022年北京-张家口冬季奥林匹克运动会与冰雪运动”。2021年大赛主题对应的中华优秀传统文化元素为“中国古代体育运动”。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大赛主题的核心是围绕北京冰雪冬奥、冬季体育运动，以及与古代体育运动相关的中华优秀传统文化元素。</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具体地，2021年大赛数媒类作品内容主题包括：</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（1）2022年北京-张家口冬季奥林匹克运动会。</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重在中国北京、张家口举办。</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（2）冰雪运动。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（3）冬季体育运动。</w:t>
      </w:r>
    </w:p>
    <w:p>
      <w:pPr>
        <w:autoSpaceDN w:val="0"/>
        <w:spacing w:line="360" w:lineRule="auto"/>
        <w:ind w:firstLine="700" w:firstLineChars="250"/>
        <w:jc w:val="left"/>
        <w:rPr>
          <w:rFonts w:ascii="仿宋_GB2312" w:hAnsi="宋体" w:eastAsia="仿宋_GB2312"/>
          <w:sz w:val="28"/>
          <w:szCs w:val="28"/>
        </w:rPr>
      </w:pPr>
      <w:r>
        <w:rPr>
          <w:rFonts w:hint="eastAsia" w:ascii="仿宋_GB2312" w:hAnsi="宋体" w:eastAsia="仿宋_GB2312"/>
          <w:sz w:val="28"/>
          <w:szCs w:val="28"/>
        </w:rPr>
        <w:t>（4）中国古代体育运动。例如：运动项目包括：蹴鞠（类似于现代足球）、角力（类似于现代摔跤）、捶丸（类似于现代曲棍球）、马球、射箭、五禽戏、武术等；古代体育运动相关元素包括：诗词、建筑、服饰、人物等。</w:t>
      </w:r>
    </w:p>
    <w:p>
      <w:pPr>
        <w:autoSpaceDN w:val="0"/>
        <w:spacing w:line="360" w:lineRule="auto"/>
        <w:jc w:val="left"/>
        <w:rPr>
          <w:rFonts w:ascii="仿宋_GB2312" w:hAnsi="宋体" w:eastAsia="仿宋_GB2312"/>
          <w:b/>
          <w:sz w:val="28"/>
          <w:szCs w:val="28"/>
        </w:rPr>
      </w:pPr>
      <w:r>
        <w:rPr>
          <w:rFonts w:hint="eastAsia" w:ascii="仿宋_GB2312" w:hAnsi="宋体" w:eastAsia="仿宋_GB2312"/>
          <w:b/>
          <w:sz w:val="28"/>
          <w:szCs w:val="28"/>
        </w:rPr>
        <w:t>三、大赛内容分类及说明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1．软件应用与开发</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（1）Web应用与开发。（2）管理信息系统。（3）移动应用开发（非游戏类）。（4）算法设计与应用。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（1）软件应用与开发的作品是指运行在计算机（含智能手机）、网络、数据库系统之上的软件，提供信息管理、信息服务、移动应用、算法设计等功能或服务。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（3）每位作者在本大类只能提交1件作品，无论作者排名如何。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（6）每校参加省级赛区每小类作品数量，由各省级赛区组委会或省级直报赛区自行规定。本大类每校最终入围国赛决赛作品不多于3件。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2．微课与教学辅助</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（1）计算机基础与应用类课程微课（或教学辅助课件）。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（2）中、小学数学或自然科学课程微课（或教学辅助课件）。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（3）汉语言文学（唐诗宋词）微课（或教学辅助课件）。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（4）虚拟实验平台。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微课是指运用信息技术，按照认知规律，呈现碎片化学习内容、过程及扩展素材的结构化数字资源，其内容以教学短视频为核心，并包含与该教学主题相关的教学设计、素材课件、教学反思、练习测试及学生反馈、教师点评等辅助性教学资源。</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（2）教学辅助课件是指根据教学大纲的要求，经过教学目标确定、教学内容和任务分析、教学活动结构及界面设计等环节，运用信息技术手段制作的课程软件。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微课与教学辅助课件类作品，应是经过精心设计的信息化教学资源，能多层次多角度开展教学，实现因材施教，更好地服务受众。本类作品选题限定于大学计算机基础、汉语言文学（唐诗宋词）和中小学自然科学相关教学内容三个方面。作品应遵循科学性和思想性统一、符合认知规律等原则，作品内容应立足于教材的相关知识点展开，其立场、观点需与教材保持一致。</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（4）虚拟实验平台是指借助多媒体、仿真和虚拟现实等技术在计算机上营造可辅助、部分替代或全部替代传统教学和实验各操作环节的相关软硬件操作环境。</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（6）每位作者在本大类只能提交1件作品，无论作者排名如何。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（9）每校参加省级赛区每小类作品数量，由各省级赛区组委会或省级直报赛区自行规定。本大类每校最终入围国赛决赛作品不多于3件。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3．物联网应用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（1）城市管理。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（2）医药卫生。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（3）运动健身。</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（4）数字生活。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（5）行业应用。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城市管理小类作品是基于全面感知、互联、融合、智能计算等技术，以服务城市管理为目的，以提升社会经济生活水平为宗旨，形成某一具体应用的完整方案。例如：智慧交通、城市公用设施、市容环境与环境秩序监控、城市应急管理、城市安全防护、智能建筑、文物保护、数字博物馆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包括婴儿监控、多动症儿童监控、老年人生命体征家庭监控、老年人家庭保健、病人家庭康复监控、医疗健康监测、远程健康保健、智能穿戴监测设备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运动健康小类作品应以物联网技术为支撑，以提高运动训练水平和大众健身质量为目的。建议但不限于如下方面：运动数据分析、运动过程跟踪、运动效果监测、运动兴趣培养、运动习惯养成以及职业运动和体育赛事的专用管理训练系统和设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数字生活小类作品应以物联网技术为支撑，通过稳定的通信方式实现家庭网络中各类电子产品之间的“互联互通”，以提升生活水平、提高生活便利程度为目的，包括：各类消费电子产品、通信产品、信息家电以及智能家居等。鼓励选手设计和创作利用各种传感器解决生活中的问题、满足生活需求的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（5）行业应用小类作品应以物联网技术为支撑，解决某行业领域某一问题或实现某一功能，以提高生产效率、提升产品价值为目的，包括物联网技术在工业、零售、物流、农林、环保以及教育等行业的应用。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（6）作品必须有可展示的实物系统，需提交实物系统功能演示视频（不超过10分钟）与相关设计说明书，现场答辩过程应对作品实物系统进行功能演示。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（8）每位作者在本大类只能提交1件作品，无论作者排名如何。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（10）每校参加省级赛区每小类作品数量，由各省级赛区组委会或省级直报赛区自行规定。本大类每校最终入围国赛决赛作品不多于3件。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4．大数据应用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下设大数据实践一个小类。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大数据应用类作品指利用大数据思维发现社会生活和学科领域的应用需求，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作品涉及的领域包括但不限于：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①</w:t>
      </w:r>
      <w:r>
        <w:rPr>
          <w:rFonts w:hint="eastAsia" w:ascii="仿宋_GB2312" w:hAnsi="宋体" w:eastAsia="仿宋_GB2312"/>
          <w:sz w:val="28"/>
          <w:szCs w:val="28"/>
        </w:rPr>
        <w:tab/>
      </w:r>
      <w:r>
        <w:rPr>
          <w:rFonts w:hint="eastAsia" w:ascii="仿宋_GB2312" w:hAnsi="宋体" w:eastAsia="仿宋_GB2312"/>
          <w:sz w:val="28"/>
          <w:szCs w:val="28"/>
        </w:rPr>
        <w:t>环境与人类发展大数据（气象、环境、资源、农业、人口等）。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sz w:val="28"/>
          <w:szCs w:val="28"/>
        </w:rPr>
        <w:tab/>
      </w:r>
      <w:r>
        <w:rPr>
          <w:rFonts w:hint="eastAsia" w:ascii="仿宋_GB2312" w:hAnsi="宋体" w:eastAsia="仿宋_GB2312"/>
          <w:sz w:val="28"/>
          <w:szCs w:val="28"/>
        </w:rPr>
        <w:t>城市与交通大数据（城市、道路交通、物流等）。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③</w:t>
      </w:r>
      <w:r>
        <w:rPr>
          <w:rFonts w:hint="eastAsia" w:ascii="仿宋_GB2312" w:hAnsi="宋体" w:eastAsia="仿宋_GB2312"/>
          <w:sz w:val="28"/>
          <w:szCs w:val="28"/>
        </w:rPr>
        <w:tab/>
      </w:r>
      <w:r>
        <w:rPr>
          <w:rFonts w:hint="eastAsia" w:ascii="仿宋_GB2312" w:hAnsi="宋体" w:eastAsia="仿宋_GB2312"/>
          <w:sz w:val="28"/>
          <w:szCs w:val="28"/>
        </w:rPr>
        <w:t>社交与WEB大数据（舆情、推荐、自然语言处理等）。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④</w:t>
      </w:r>
      <w:r>
        <w:rPr>
          <w:rFonts w:hint="eastAsia" w:ascii="仿宋_GB2312" w:hAnsi="宋体" w:eastAsia="仿宋_GB2312"/>
          <w:sz w:val="28"/>
          <w:szCs w:val="28"/>
        </w:rPr>
        <w:tab/>
      </w:r>
      <w:r>
        <w:rPr>
          <w:rFonts w:hint="eastAsia" w:ascii="仿宋_GB2312" w:hAnsi="宋体" w:eastAsia="仿宋_GB2312"/>
          <w:sz w:val="28"/>
          <w:szCs w:val="28"/>
        </w:rPr>
        <w:t>金融与商业大数据（金融、电商等）。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⑤</w:t>
      </w:r>
      <w:r>
        <w:rPr>
          <w:rFonts w:hint="eastAsia" w:ascii="仿宋_GB2312" w:hAnsi="宋体" w:eastAsia="仿宋_GB2312"/>
          <w:sz w:val="28"/>
          <w:szCs w:val="28"/>
        </w:rPr>
        <w:tab/>
      </w:r>
      <w:r>
        <w:rPr>
          <w:rFonts w:hint="eastAsia" w:ascii="仿宋_GB2312" w:hAnsi="宋体" w:eastAsia="仿宋_GB2312"/>
          <w:sz w:val="28"/>
          <w:szCs w:val="28"/>
        </w:rPr>
        <w:t>法律大数据（司法审判、普法宣传等）。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⑥</w:t>
      </w:r>
      <w:r>
        <w:rPr>
          <w:rFonts w:hint="eastAsia" w:ascii="仿宋_GB2312" w:hAnsi="宋体" w:eastAsia="仿宋_GB2312"/>
          <w:sz w:val="28"/>
          <w:szCs w:val="28"/>
        </w:rPr>
        <w:tab/>
      </w:r>
      <w:r>
        <w:rPr>
          <w:rFonts w:hint="eastAsia" w:ascii="仿宋_GB2312" w:hAnsi="宋体" w:eastAsia="仿宋_GB2312"/>
          <w:sz w:val="28"/>
          <w:szCs w:val="28"/>
        </w:rPr>
        <w:t>生物与医疗大数据。</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⑦文化与教育大数据（教育、艺术、文化、体育等）。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（2）本类每队参赛人数为1-3人，指导教师不多于2人。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（3）每位作者在本类只能提交1件作品，无论作者排名如何。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（4）每位指导教师在本类全国决赛中不能指导多于2件作品，无论指导教师的排名如何。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（5）每件作品答辩时（含视频答辩），作者的作品介绍时长（含作品的现场演示）应不超过10分钟。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（6）每校参加省级赛区作品数量，由各省级赛区组委会或省级直报赛区自行规定。本类每校最终入围国赛决赛作品不多于3件。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5．人工智能应用</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下设人工智能实践赛一个小类。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人工智能实践赛是针对某一领域的特定问题，提出基于人工智能的方法与思想的解决方案。这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涉及的领域，包括但不限于：智能城市与交通（包括汽车无人驾驶）、智能家居与生活、智能医疗与健康、智能农林与环境、智能教育与文化、智能制造与工业互联网、三维建模与虚拟现实、自然语言处理、图像处理与模式识别方法研究、机器学习方法研究。</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(2)人工智能类参赛对象专业不限，每队参赛人数为1-3人，指导教师不多于2人。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(3)每位作者在本类只能提供1件作品，无论作者排名如何。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(4)每位指导教师在本类全国决赛中，不能多于指导3件作品，每小类不能多于指导2件作品，无论指导教师的排名如何。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(5)每件作品允许作者介绍时长不多于10分钟。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(6)每校参加省级赛区作品数量由各省级赛区组委会或省级直报赛区自行规定。本大类每校最终入围国赛决赛人工智能实践赛的作品不多于3件。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6.信息可视化设计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（1）信息图形设计。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（2）动态信息影像（MG动画）。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（3）交互信息设计。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（4）数据可视化。</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（1）信息可视化设计侧重用视觉化的方式，归纳和表现信息与数据的内在联系、模式和结构。</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（2）信息图形指信息海报、信息图表、信息插图、地图、信息导视或科普图形。</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（3）动态信息影像指以可视化信息呈现为主的动画或影像合成作品。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（4）交互信息设计指基于电子触控媒介的界面设计，如交互图表以及仪表板设计。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（5）数据可视化是指基于编程工具、开源软件或数据分析工具等实现的可视化作品。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该类别要求作品具备艺术性、科学性、完整性、流畅性和实用性，而且作者需要对参赛作品信息数据来源的真实性、科学性与可靠性进行说明，并提供源文件。该类别作品需要提供完整的方案设计与技术实现的说明，特别是设计思想与现实意义。数据可视化作品还需说明作品应用场景、设计理念，提交作品源代码、作品功能演示录屏等。</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（8）每位作者在本大类只能提交1件作品，无论作者排名如何。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（11）每校参加省级赛区每小类作品数量，由各省级赛区组委会或省级直报赛区自行规定。本大类（组）每校最终入围国赛决赛作品不多于3件。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7.数媒静态设计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（1）平面设计。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（2）环境设计。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（3）产品设计。</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（2）平面设计，内容包括服饰、手工艺、手工艺品、海报招贴设计、书籍装帧、包装设计等利用平面视觉传达设计的展示作品。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（3）环境设计，内容包括空间形象设计、建筑设计、室内设计、展示设计、园林景观设计、公共设施小品（景观雕塑、街道设施等）设计等环境艺术设计相关作品。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（11）每校参加省级复赛作品每小类数量，由各省级赛组委会或省级赛直报赛区自行规定。本大类（组）每校最终入围国赛决赛作品不多于3件。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8.数媒静态设计专业组</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（1）平面设计。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（2）环境设计。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（3）产品设计。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（2）平面设计，内容包括服饰、手工艺、手工艺品、海报招贴设计、书籍装帧、包装设计等利用平面视觉传达设计的展示作品。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（3）环境设计，内容包括空间形象设计、建筑设计、室内设计、展示设计、园林景观设计、公共设施小品（景观雕塑、街道设施等）设计等环境艺术设计相关作品。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（7）本大类每队参赛人数为1-3人，指导教师不多于2人。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（11）每校参加省级复赛作品每小类数量，由各省级赛组委会或省级赛直报赛区自行规定。本大类（组）每校最终入围国赛决赛作品不多于3件。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9.数媒动漫与短片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（1）微电影。</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（2）数字短片。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（3）纪录片。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（4）动画。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（5）新媒体漫画。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（2）微电影作品，应是借助电影拍摄手法创作的视频短片，反映一定故事情节和剧本创作。</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（3）数字短片作品，是利用数字化设备拍摄的各类短片。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（4）纪录片作品，是利用数字化设备和纪实的手法，拍摄的反映人文、历史、景观和文化的短片。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（5）动画作品，是利用计算机创作的二维、三维动画，包含动画角色设计、动画场景设计、动画动作设计、动画声音和动画特效等内容。</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（6）新媒体漫画作品，是利用数字化设备、传统手绘漫画创作和表现手法，创作的静态、动态和可交互的数字漫画作品。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（9）本大类每队参赛人数为1-5人，指导教师不多于2人。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（10）每位作者在本大类（组）只能提交1件作品，无论作者排名如何。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（12）每件作品答辩时（含视频答辩），作者的作品介绍时长应不超过10分钟。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（13）每校参加省级复赛作品每小类数量，由各省级赛组委会或省级赛直报赛区自行规定。本大类（组）每校最终入围国赛决赛作品不多于3件。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10．数媒动漫与短片专业组</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（1）微电影。</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（2）数字短片。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（3）纪录片。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（4）动画。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（5）新媒体漫画。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（2）微电影作品，应是借助电影拍摄手法创作的视频短片，反映一定故事情节和剧本创作。</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（3）数字短片作品，是利用数字化设备拍摄的各类短片。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（4）纪录片作品，是利用数字化设备和纪实的手法，拍摄的反映人文、历史、景观和文化的短片。</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（5）动画作品，是利用计算机创作的二维、三维动画，包含动画角色设计、动画场景设计、动画动作设计、动画声音和动画特效等内容。</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（6）新媒体漫画作品，是利用数字化设备、传统手绘漫画创作和表现手法，创作的静态、动态和可交互的数字漫画作品。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（9）本大类每队参赛人数为1-5人，指导教师不多于2人。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（10）每位作者在本大类（组）只能提交1件作品，无论作者排名如何。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（12）每件作品答辩时（含视频答辩），作者的作品介绍时长应不超过10分钟。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（13）每校参加省级复赛作品每小类数量，由各省级赛组委会或省级赛直报赛区自行规定。本大类（组）每校最终入围国赛决赛作品不多于3件。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11.数媒游戏与交互设计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（1）游戏设计。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（2）交互媒体设计。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（3）虚拟现实VR与增强现实AR。</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（2）游戏设计作品的内容包括游戏角色设计、场景设计、动作设计、关卡设计、交互设计，是能体现反映主题，具有一定完整度的游戏作品。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（3）交互媒体设计，是利用各种数字交互技术、人机交互技术，借助计算机输入输出设备、语音、图像、体感等各种手段，与作品实现动态交互。作品需体现一定的交互性与互动性，不能仅为静态版式设计。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（4）虚拟现实VR与增强现实AR作品，是利用VR、AR、MR、XR、AI等各种虚拟交互技术创作的围绕主题的作品。作品具有较强的视效沉浸感、用户体验感和作品交互性。</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（7）本大类每队参赛人数为1-5人，指导教师不多于2人。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（10）每件作品答辩时（含视频答辩），作者的作品介绍时长应不超过10分钟。</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（11）每校参加省级复赛作品每小类数量，由各省级赛组委会或省级赛直报赛区自行规定。本大类（组）每校最终入围国赛决赛作品不多于3件。</w:t>
      </w:r>
    </w:p>
    <w:p>
      <w:pPr>
        <w:autoSpaceDN w:val="0"/>
        <w:spacing w:line="360" w:lineRule="auto"/>
        <w:ind w:left="708" w:leftChars="337"/>
        <w:jc w:val="left"/>
        <w:rPr>
          <w:rFonts w:ascii="仿宋_GB2312" w:hAnsi="宋体" w:eastAsia="仿宋_GB2312"/>
          <w:sz w:val="28"/>
          <w:szCs w:val="28"/>
        </w:rPr>
      </w:pP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12.数媒游戏与交互设计专业组</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包括以下小类：</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（1）游戏设计。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（2）交互媒体设计。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（3）虚拟现实VR与增强现实AR。</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说明：</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（1）本大类的参赛作品应以2022年北京-张家口冬奥会、冰雪运动、冬季体育运动和中华古代体育运动相关元素为主题进行创作，以弘扬奥林匹克精神，普及冬奥会运动项目、奥运文化和知识。</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（2）游戏设计作品的内容包括游戏角色设计、场景设计、动作设计、关卡设计、交互设计，是能体现反映主题，具有一定完整度的游戏作品。</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（3）交互媒体设计，是利用各种数字交互技术、人机交互技术，借助计算机输入输出设备、语音、图像、体感等各种手段，与作品实现动态交互。作品需体现一定的交互性与互动性，不能仅为静态版式设计。</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（4）虚拟现实VR与增强现实AR作品，是利用VR、AR、MR、XR、AI等各种虚拟交互技术创作的围绕主题的作品。作品具有较强的视效沉浸感、用户体验感和作品交互性。</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（5）本大类作品分普通组与专业组进行报赛与评比。普通组与专业组的划分，参见前面“一、说明”中第2点所述。</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（7）本大类每队参赛人数为1-5人，指导教师不多于2人。</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（8）每位作者在本类（组）只能提交1件作品，无论作者排名如何。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（9）每位指导教师，在本大类全国决赛中不能指导多于3件作品，每小类不能指导多于2件作品，无论指导教师的排名如何。</w:t>
      </w:r>
    </w:p>
    <w:p>
      <w:pPr>
        <w:autoSpaceDN w:val="0"/>
        <w:spacing w:line="360" w:lineRule="auto"/>
        <w:ind w:left="708" w:leftChars="337"/>
        <w:jc w:val="left"/>
        <w:rPr>
          <w:rFonts w:ascii="仿宋_GB2312" w:hAnsi="宋体" w:eastAsia="仿宋_GB2312"/>
          <w:sz w:val="28"/>
          <w:szCs w:val="28"/>
        </w:rPr>
      </w:pPr>
      <w:r>
        <w:rPr>
          <w:rFonts w:hint="eastAsia" w:ascii="仿宋_GB2312" w:hAnsi="宋体" w:eastAsia="仿宋_GB2312"/>
          <w:sz w:val="28"/>
          <w:szCs w:val="28"/>
        </w:rPr>
        <w:t>（10）每件作品答辩时（含视频答辩），作者的作品介绍时长应不超过10分钟。</w:t>
      </w:r>
    </w:p>
    <w:p>
      <w:pPr>
        <w:autoSpaceDN w:val="0"/>
        <w:spacing w:line="360" w:lineRule="auto"/>
        <w:ind w:left="708" w:leftChars="337"/>
        <w:jc w:val="left"/>
        <w:rPr>
          <w:rFonts w:ascii="仿宋_GB2312" w:hAnsi="宋体" w:eastAsia="仿宋_GB2312"/>
          <w:b/>
          <w:sz w:val="28"/>
          <w:szCs w:val="28"/>
        </w:rPr>
      </w:pPr>
      <w:r>
        <w:rPr>
          <w:rFonts w:hint="eastAsia" w:ascii="仿宋_GB2312" w:hAnsi="宋体" w:eastAsia="仿宋_GB2312"/>
          <w:sz w:val="28"/>
          <w:szCs w:val="28"/>
        </w:rPr>
        <w:t>（11）每校参加省级复赛作品每小类数量，由各省级赛组委会或省级赛直报赛区自行规定。本大类（组）每校最终入围国赛决赛作品不多于3件。</w:t>
      </w:r>
    </w:p>
    <w:p>
      <w:pPr>
        <w:autoSpaceDN w:val="0"/>
        <w:spacing w:line="360" w:lineRule="auto"/>
        <w:jc w:val="left"/>
        <w:rPr>
          <w:rFonts w:ascii="仿宋_GB2312" w:hAnsi="宋体" w:eastAsia="仿宋_GB2312"/>
          <w:b/>
          <w:sz w:val="28"/>
          <w:szCs w:val="28"/>
        </w:rPr>
      </w:pPr>
      <w:r>
        <w:rPr>
          <w:rFonts w:hint="eastAsia" w:ascii="仿宋_GB2312" w:hAnsi="宋体" w:eastAsia="仿宋_GB2312"/>
          <w:b/>
          <w:sz w:val="28"/>
          <w:szCs w:val="28"/>
        </w:rPr>
        <w:t>四、参赛作品相关要求</w:t>
      </w:r>
    </w:p>
    <w:p>
      <w:pPr>
        <w:autoSpaceDN w:val="0"/>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1．所有类别、所有小类的每一件作品均必须为作者原创，和已发表、展出、获奖的作品雷同或相似的作品（包括作者前期的作品）均不得参赛。</w:t>
      </w:r>
    </w:p>
    <w:p>
      <w:pPr>
        <w:autoSpaceDN w:val="0"/>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2．无论何时，参赛作品一经发现如有涉及剽窃抄袭等违规行为，大赛组委会有权取消该作品的参赛资格。若已获奖，则取消该奖项。同时将在大赛官网上公布违规作品的作品号、作品名、作者与指导教师姓名，以及相关人员所在学校校名。</w:t>
      </w:r>
    </w:p>
    <w:p>
      <w:pPr>
        <w:autoSpaceDN w:val="0"/>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3．每校参加省级复赛作品每小类数量由各省级赛组委会或省级赛直报赛区自行规定。</w:t>
      </w:r>
    </w:p>
    <w:p>
      <w:pPr>
        <w:autoSpaceDN w:val="0"/>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4．各省级赛获奖作品和省级赛直报赛区必须经国赛网评环节，选拔符合大赛决赛水平的参赛作品，方可进入决赛。</w:t>
      </w:r>
    </w:p>
    <w:p>
      <w:pPr>
        <w:autoSpaceDN w:val="0"/>
        <w:spacing w:line="360" w:lineRule="auto"/>
        <w:ind w:firstLine="560" w:firstLineChars="200"/>
        <w:jc w:val="left"/>
        <w:rPr>
          <w:rFonts w:ascii="仿宋_GB2312" w:hAnsi="宋体" w:eastAsia="仿宋_GB2312"/>
          <w:sz w:val="28"/>
          <w:szCs w:val="28"/>
        </w:rPr>
      </w:pPr>
    </w:p>
    <w:p>
      <w:r>
        <w:rPr>
          <w:rStyle w:val="9"/>
          <w:rFonts w:hint="eastAsia"/>
          <w:sz w:val="32"/>
          <w:szCs w:val="32"/>
        </w:rPr>
        <w:t>关于本次中国大学生计算机设计</w:t>
      </w:r>
      <w:r>
        <w:rPr>
          <w:rStyle w:val="9"/>
          <w:sz w:val="32"/>
          <w:szCs w:val="32"/>
        </w:rPr>
        <w:t>大赛的更多信息</w:t>
      </w:r>
      <w:r>
        <w:rPr>
          <w:rStyle w:val="9"/>
          <w:rFonts w:hint="eastAsia"/>
          <w:sz w:val="32"/>
          <w:szCs w:val="32"/>
        </w:rPr>
        <w:t>，请大家关注大赛官网（</w:t>
      </w:r>
      <w:r>
        <w:fldChar w:fldCharType="begin"/>
      </w:r>
      <w:r>
        <w:instrText xml:space="preserve"> HYPERLINK "http://jsjds.ruc.edu.cn/" </w:instrText>
      </w:r>
      <w:r>
        <w:fldChar w:fldCharType="separate"/>
      </w:r>
      <w:r>
        <w:rPr>
          <w:rStyle w:val="9"/>
          <w:rFonts w:hint="eastAsia" w:eastAsia="仿宋_GB2312"/>
          <w:sz w:val="32"/>
          <w:szCs w:val="32"/>
        </w:rPr>
        <w:t>http://jsjds.ruc.edu.cn/</w:t>
      </w:r>
      <w:r>
        <w:rPr>
          <w:rStyle w:val="9"/>
          <w:rFonts w:hint="eastAsia" w:eastAsia="仿宋_GB2312"/>
          <w:sz w:val="32"/>
          <w:szCs w:val="32"/>
        </w:rPr>
        <w:fldChar w:fldCharType="end"/>
      </w:r>
      <w:r>
        <w:rPr>
          <w:rStyle w:val="9"/>
          <w:rFonts w:hint="eastAsia"/>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F69"/>
    <w:rsid w:val="00036631"/>
    <w:rsid w:val="000C244D"/>
    <w:rsid w:val="001A2F00"/>
    <w:rsid w:val="001F3CCC"/>
    <w:rsid w:val="001F6361"/>
    <w:rsid w:val="001F7F69"/>
    <w:rsid w:val="00272359"/>
    <w:rsid w:val="002732EE"/>
    <w:rsid w:val="002770A8"/>
    <w:rsid w:val="002A07EA"/>
    <w:rsid w:val="002A4467"/>
    <w:rsid w:val="003B7137"/>
    <w:rsid w:val="003C01B7"/>
    <w:rsid w:val="003C680F"/>
    <w:rsid w:val="00442134"/>
    <w:rsid w:val="00496C6A"/>
    <w:rsid w:val="00560F89"/>
    <w:rsid w:val="005D5BAE"/>
    <w:rsid w:val="00662094"/>
    <w:rsid w:val="006B1259"/>
    <w:rsid w:val="00712B11"/>
    <w:rsid w:val="0074379D"/>
    <w:rsid w:val="007B3A66"/>
    <w:rsid w:val="007D6B2D"/>
    <w:rsid w:val="008823F7"/>
    <w:rsid w:val="008A05EB"/>
    <w:rsid w:val="009B1293"/>
    <w:rsid w:val="009E3991"/>
    <w:rsid w:val="00AE6E74"/>
    <w:rsid w:val="00AF2672"/>
    <w:rsid w:val="00B207CF"/>
    <w:rsid w:val="00B52D57"/>
    <w:rsid w:val="00C513A2"/>
    <w:rsid w:val="00C97C26"/>
    <w:rsid w:val="00D34DAA"/>
    <w:rsid w:val="00D71FB4"/>
    <w:rsid w:val="00D94D7B"/>
    <w:rsid w:val="00DF1AE9"/>
    <w:rsid w:val="00DF7213"/>
    <w:rsid w:val="00FC4273"/>
    <w:rsid w:val="00FE00BF"/>
    <w:rsid w:val="038D5885"/>
    <w:rsid w:val="06C3200C"/>
    <w:rsid w:val="11B31243"/>
    <w:rsid w:val="33697CDB"/>
    <w:rsid w:val="41EA5735"/>
    <w:rsid w:val="6B3FC202"/>
    <w:rsid w:val="6EAA7AAA"/>
    <w:rsid w:val="794E3943"/>
    <w:rsid w:val="7A787138"/>
    <w:rsid w:val="EDEBE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Autospacing="1" w:afterAutospacing="1"/>
      <w:jc w:val="left"/>
    </w:pPr>
    <w:rPr>
      <w:rFonts w:cs="Times New Roman"/>
      <w:kern w:val="0"/>
      <w:sz w:val="24"/>
    </w:rPr>
  </w:style>
  <w:style w:type="character" w:styleId="9">
    <w:name w:val="Strong"/>
    <w:qFormat/>
    <w:uiPriority w:val="0"/>
    <w:rPr>
      <w:b/>
      <w:bCs/>
    </w:rPr>
  </w:style>
  <w:style w:type="character" w:styleId="10">
    <w:name w:val="Hyperlink"/>
    <w:basedOn w:val="8"/>
    <w:semiHidden/>
    <w:unhideWhenUsed/>
    <w:uiPriority w:val="99"/>
    <w:rPr>
      <w:color w:val="0000FF"/>
      <w:u w:val="single"/>
    </w:rPr>
  </w:style>
  <w:style w:type="character" w:customStyle="1" w:styleId="11">
    <w:name w:val="页眉 字符"/>
    <w:basedOn w:val="8"/>
    <w:link w:val="5"/>
    <w:semiHidden/>
    <w:qFormat/>
    <w:uiPriority w:val="99"/>
    <w:rPr>
      <w:sz w:val="18"/>
      <w:szCs w:val="18"/>
    </w:rPr>
  </w:style>
  <w:style w:type="character" w:customStyle="1" w:styleId="12">
    <w:name w:val="页脚 字符"/>
    <w:basedOn w:val="8"/>
    <w:link w:val="4"/>
    <w:semiHidden/>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1538</Words>
  <Characters>8770</Characters>
  <Lines>73</Lines>
  <Paragraphs>20</Paragraphs>
  <TotalTime>23</TotalTime>
  <ScaleCrop>false</ScaleCrop>
  <LinksUpToDate>false</LinksUpToDate>
  <CharactersWithSpaces>10288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2019-03-10T04:47:00Z</dcterms:created>
  <dc:creator>len</dc:creator>
  <cp:lastModifiedBy>gamedev</cp:lastModifiedBy>
  <cp:lastPrinted>2021-02-04T05:24:00Z</cp:lastPrinted>
  <dcterms:modified xsi:type="dcterms:W3CDTF">2021-03-09T07:59:25Z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